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480" w:hanging="480"/>
        <w:jc w:val="both"/>
        <w:textAlignment w:val="baseline"/>
        <w:rPr>
          <w:rFonts w:ascii="微軟正黑體" w:eastAsia="微軟正黑體" w:hAnsi="微軟正黑體"/>
          <w:color w:val="666666"/>
        </w:rPr>
      </w:pPr>
      <w:r>
        <w:rPr>
          <w:rFonts w:ascii="微軟正黑體" w:eastAsia="微軟正黑體" w:hAnsi="微軟正黑體" w:hint="eastAsia"/>
          <w:color w:val="666666"/>
        </w:rPr>
        <w:t>法學相關之論文之</w:t>
      </w:r>
      <w:r w:rsidRPr="002978CC">
        <w:rPr>
          <w:rFonts w:ascii="微軟正黑體" w:eastAsia="微軟正黑體" w:hAnsi="微軟正黑體" w:hint="eastAsia"/>
          <w:color w:val="666666"/>
        </w:rPr>
        <w:t>註解格式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960" w:hanging="48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一、中文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350" w:hanging="39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(一)   所有註解請採隨頁註，註解號碼請用阿拉伯數字，其編號以每篇論文為單位，順次排列。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350" w:hanging="39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(二)   所引註之文獻資料，若係重複出現且緊鄰出現，則註明「同前註」之後，加註頁碼；前註中有數筆文獻時，應註明作者；若同一作者有數筆文獻，則應簡要指明文獻名稱；若非緊鄰出現，則註明作者及「同註××」之後，再標明頁數，其他同前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350" w:hanging="39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(三)   關於第一次隨頁註之引用文獻格式舉例如下：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1.     專書：作者名，書名，版次，出版年，頁數。（若為初版不需註明，二版以上則註明）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【例】許育典，宗教自由與宗教法，2005年，頁12-13。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2.     譯著：原作者名，譯者名，書名，版次，出版年，頁數。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【例】Hans-Jürgen Kerner著，許澤天、薛智仁譯，德國刑事追訴與制裁──成年刑法與少年刑法之現狀分析與改革構想，2008年，頁27。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3.     論文集：作者名，文章名，收錄於：編者名，論文集，版次，出版年，頁數。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【例】蔡志方，論訴願決定確定力之相對性，收錄於：翁岳生教授七秩誕辰祝壽論文集編輯委員會主編，當代公法新論──翁岳生教授七秩誕辰祝壽論文集（下），2007年，頁54-55。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4.     期刊：作者名，文章名，期刊名，卷期數，出版年月，頁數。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【例】柯格鐘，論量能課稅原則，成大法學，第14期，2007年12月，頁55-56。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5.     研討會、研究報告：作者名，文章名，研討會名，出版年，頁數。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【例】王毓正，科技風險與企業社會責任──以電磁輻射公害防治為例，2009年兩岸稅法與經濟法，2009年，頁14-23。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6.     碩博士論文：作者名，文章名，學校系所，出版年，頁數。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【例】廖建瑜，論醫師之說明義務，成功大學法律研究所碩士論文，2004年，頁118。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7.     報紙：作者名，文章名，報紙名，出版年月日，版次。（短評、社論可不列作者名）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【例】李佳玟，是個案裁量？還是系統性的歧視？，自由時報，2009年1月6日，A13版。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8.     網際網路：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【例】法務部網站，</w:t>
      </w:r>
      <w:hyperlink r:id="rId4" w:tgtFrame="_blank" w:history="1">
        <w:r w:rsidRPr="002978CC">
          <w:rPr>
            <w:rStyle w:val="a4"/>
            <w:rFonts w:ascii="微軟正黑體" w:eastAsia="微軟正黑體" w:hAnsi="微軟正黑體" w:hint="eastAsia"/>
            <w:color w:val="006699"/>
            <w:bdr w:val="none" w:sz="0" w:space="0" w:color="auto" w:frame="1"/>
          </w:rPr>
          <w:t>http://www.moj.gov.tw</w:t>
        </w:r>
      </w:hyperlink>
      <w:r w:rsidRPr="002978CC">
        <w:rPr>
          <w:rFonts w:ascii="微軟正黑體" w:eastAsia="微軟正黑體" w:hAnsi="微軟正黑體" w:hint="eastAsia"/>
          <w:color w:val="666666"/>
        </w:rPr>
        <w:t>（瀏覽日期：2009年6月11日）。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9.     官方出版法律條文或判決等政府資料：</w:t>
      </w:r>
      <w:r w:rsidRPr="002978CC">
        <w:rPr>
          <w:rFonts w:ascii="微軟正黑體" w:eastAsia="微軟正黑體" w:hAnsi="微軟正黑體" w:hint="eastAsia"/>
          <w:color w:val="666666"/>
        </w:rPr>
        <w:br/>
        <w:t>【例】(1)大法官解釋：釋字第109號。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 (2)行政函示： 內政部XX年台內地字第8811978 號函。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 (3)判例：52年台上字第751號（刑事判例）。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 (4)最高法院判決：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      97年台上字第1403號（民事判決）。</w:t>
      </w:r>
      <w:r w:rsidRPr="002978CC">
        <w:rPr>
          <w:rFonts w:ascii="微軟正黑體" w:eastAsia="微軟正黑體" w:hAnsi="微軟正黑體" w:hint="eastAsia"/>
          <w:color w:val="666666"/>
        </w:rPr>
        <w:br/>
        <w:t>         97年台上字第5165號（刑事判決）。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 (5)最高行政法院判決：97年判字第715號。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 (6)法院判決：台北高等行政法院89年訴字第24號。</w:t>
      </w:r>
      <w:r w:rsidRPr="002978CC">
        <w:rPr>
          <w:rFonts w:ascii="微軟正黑體" w:eastAsia="微軟正黑體" w:hAnsi="微軟正黑體" w:hint="eastAsia"/>
          <w:color w:val="666666"/>
        </w:rPr>
        <w:br/>
        <w:t>      (7)決議：最高法院93年度第5次民事庭會議決議。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10.  引據其他國法律條文或判決時，請依各該國習慣。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960" w:hanging="48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二、外文</w:t>
      </w:r>
      <w:r w:rsidRPr="002978CC">
        <w:rPr>
          <w:rFonts w:ascii="微軟正黑體" w:eastAsia="微軟正黑體" w:hAnsi="微軟正黑體" w:hint="eastAsia"/>
          <w:color w:val="666666"/>
        </w:rPr>
        <w:br/>
      </w:r>
      <w:r>
        <w:rPr>
          <w:rFonts w:ascii="微軟正黑體" w:eastAsia="微軟正黑體" w:hAnsi="微軟正黑體" w:hint="eastAsia"/>
          <w:color w:val="666666"/>
        </w:rPr>
        <w:t>作者得依所引該國文獻通用方式，於本文隨頁註釋。如係英</w:t>
      </w:r>
      <w:r w:rsidRPr="002978CC">
        <w:rPr>
          <w:rFonts w:ascii="微軟正黑體" w:eastAsia="微軟正黑體" w:hAnsi="微軟正黑體" w:hint="eastAsia"/>
          <w:color w:val="666666"/>
        </w:rPr>
        <w:t>文獻，可參考如下：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350" w:hanging="39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(一)   英文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1.     專書：RAJ BHALA &amp; KEVIN KENNEDY, WORLD TRADE LAW168 (Lexis Law Publishing 1998).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2.     論文集：John Adams, Argument &amp; Report, in 2 LEGALPAPERS OF JOHN ADAMS 322-35 (L. Kinvin Wroth &amp;Hiller B. Zobel eds., 1965).</w:t>
      </w:r>
    </w:p>
    <w:p w:rsidR="002978CC" w:rsidRPr="002978CC" w:rsidRDefault="002978CC" w:rsidP="002978CC">
      <w:pPr>
        <w:pStyle w:val="a3"/>
        <w:shd w:val="clear" w:color="auto" w:fill="FFFFFF"/>
        <w:snapToGrid w:val="0"/>
        <w:spacing w:before="0" w:beforeAutospacing="0" w:after="0" w:afterAutospacing="0"/>
        <w:ind w:left="1710" w:hanging="360"/>
        <w:jc w:val="both"/>
        <w:textAlignment w:val="baseline"/>
        <w:rPr>
          <w:rFonts w:ascii="微軟正黑體" w:eastAsia="微軟正黑體" w:hAnsi="微軟正黑體"/>
          <w:color w:val="666666"/>
        </w:rPr>
      </w:pPr>
      <w:r w:rsidRPr="002978CC">
        <w:rPr>
          <w:rFonts w:ascii="微軟正黑體" w:eastAsia="微軟正黑體" w:hAnsi="微軟正黑體" w:hint="eastAsia"/>
          <w:color w:val="666666"/>
        </w:rPr>
        <w:t>3.     期刊：Daniel J. Chepaitis, The National Labor Relation Act,Non-Paralleled Competition and Market Power, 85CAL. L. REV. 769, 776 (1997).</w:t>
      </w:r>
    </w:p>
    <w:p w:rsidR="00BC149A" w:rsidRPr="002978CC" w:rsidRDefault="00BC149A" w:rsidP="002978CC">
      <w:pPr>
        <w:snapToGrid w:val="0"/>
        <w:rPr>
          <w:szCs w:val="24"/>
        </w:rPr>
      </w:pPr>
    </w:p>
    <w:sectPr w:rsidR="00BC149A" w:rsidRPr="00297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CC"/>
    <w:rsid w:val="002560DA"/>
    <w:rsid w:val="002978CC"/>
    <w:rsid w:val="009B5D8E"/>
    <w:rsid w:val="00BC149A"/>
    <w:rsid w:val="00D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20976-D8A4-4EEE-83AB-D495B57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97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moj.gov.tw/" TargetMode="Externa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來賓使用者</cp:lastModifiedBy>
  <cp:revision>2</cp:revision>
  <dcterms:created xsi:type="dcterms:W3CDTF">2021-11-01T13:38:00Z</dcterms:created>
  <dcterms:modified xsi:type="dcterms:W3CDTF">2021-11-01T13:38:00Z</dcterms:modified>
</cp:coreProperties>
</file>